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355B54F">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14:paraId="75C9D5D5">
      <w:pPr>
        <w:spacing w:line="540" w:lineRule="exact"/>
        <w:jc w:val="center"/>
        <w:rPr>
          <w:rFonts w:ascii="华文中宋" w:hAnsi="华文中宋" w:eastAsia="华文中宋" w:cs="宋体"/>
          <w:b/>
          <w:kern w:val="0"/>
          <w:sz w:val="52"/>
          <w:szCs w:val="52"/>
        </w:rPr>
      </w:pPr>
    </w:p>
    <w:p w14:paraId="3CCD0F32">
      <w:pPr>
        <w:spacing w:line="540" w:lineRule="exact"/>
        <w:jc w:val="center"/>
        <w:rPr>
          <w:rFonts w:ascii="华文中宋" w:hAnsi="华文中宋" w:eastAsia="华文中宋" w:cs="宋体"/>
          <w:b/>
          <w:kern w:val="0"/>
          <w:sz w:val="52"/>
          <w:szCs w:val="52"/>
        </w:rPr>
      </w:pPr>
    </w:p>
    <w:p w14:paraId="6D050998">
      <w:pPr>
        <w:spacing w:line="540" w:lineRule="exact"/>
        <w:jc w:val="center"/>
        <w:rPr>
          <w:rFonts w:ascii="华文中宋" w:hAnsi="华文中宋" w:eastAsia="华文中宋" w:cs="宋体"/>
          <w:b/>
          <w:kern w:val="0"/>
          <w:sz w:val="52"/>
          <w:szCs w:val="52"/>
        </w:rPr>
      </w:pPr>
    </w:p>
    <w:p w14:paraId="77EE0FA8">
      <w:pPr>
        <w:spacing w:line="540" w:lineRule="exact"/>
        <w:jc w:val="center"/>
        <w:rPr>
          <w:rFonts w:ascii="华文中宋" w:hAnsi="华文中宋" w:eastAsia="华文中宋" w:cs="宋体"/>
          <w:b/>
          <w:kern w:val="0"/>
          <w:sz w:val="52"/>
          <w:szCs w:val="52"/>
        </w:rPr>
      </w:pPr>
    </w:p>
    <w:p w14:paraId="66EFA09B">
      <w:pPr>
        <w:spacing w:line="540" w:lineRule="exact"/>
        <w:jc w:val="center"/>
        <w:rPr>
          <w:rFonts w:ascii="华文中宋" w:hAnsi="华文中宋" w:eastAsia="华文中宋" w:cs="宋体"/>
          <w:b/>
          <w:kern w:val="0"/>
          <w:sz w:val="52"/>
          <w:szCs w:val="52"/>
        </w:rPr>
      </w:pPr>
    </w:p>
    <w:p w14:paraId="148392B0">
      <w:pPr>
        <w:spacing w:line="540" w:lineRule="exact"/>
        <w:jc w:val="center"/>
        <w:rPr>
          <w:rFonts w:ascii="华文中宋" w:hAnsi="华文中宋" w:eastAsia="华文中宋" w:cs="宋体"/>
          <w:b/>
          <w:kern w:val="0"/>
          <w:sz w:val="52"/>
          <w:szCs w:val="52"/>
        </w:rPr>
      </w:pPr>
    </w:p>
    <w:p w14:paraId="655CE8FE">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14:paraId="449BF530">
      <w:pPr>
        <w:spacing w:line="540" w:lineRule="exact"/>
        <w:jc w:val="center"/>
        <w:rPr>
          <w:rFonts w:ascii="华文中宋" w:hAnsi="华文中宋" w:eastAsia="华文中宋" w:cs="宋体"/>
          <w:b/>
          <w:kern w:val="0"/>
          <w:sz w:val="52"/>
          <w:szCs w:val="52"/>
        </w:rPr>
      </w:pPr>
    </w:p>
    <w:p w14:paraId="15BD1A85">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楷体" w:hAnsi="楷体" w:eastAsia="楷体"/>
          <w:spacing w:val="-4"/>
          <w:sz w:val="32"/>
          <w:szCs w:val="32"/>
        </w:rPr>
        <w:t>2023</w:t>
      </w:r>
      <w:r>
        <w:rPr>
          <w:rFonts w:hint="eastAsia" w:hAnsi="宋体" w:eastAsia="仿宋_GB2312" w:cs="宋体"/>
          <w:kern w:val="0"/>
          <w:sz w:val="36"/>
          <w:szCs w:val="36"/>
        </w:rPr>
        <w:t xml:space="preserve">  年度）</w:t>
      </w:r>
    </w:p>
    <w:p w14:paraId="11F33095">
      <w:pPr>
        <w:spacing w:line="540" w:lineRule="exact"/>
        <w:jc w:val="center"/>
        <w:rPr>
          <w:rFonts w:hAnsi="宋体" w:eastAsia="仿宋_GB2312" w:cs="宋体"/>
          <w:kern w:val="0"/>
          <w:sz w:val="30"/>
          <w:szCs w:val="30"/>
        </w:rPr>
      </w:pPr>
    </w:p>
    <w:p w14:paraId="1EC40C01">
      <w:pPr>
        <w:spacing w:line="540" w:lineRule="exact"/>
        <w:jc w:val="center"/>
        <w:rPr>
          <w:rFonts w:hAnsi="宋体" w:eastAsia="仿宋_GB2312" w:cs="宋体"/>
          <w:kern w:val="0"/>
          <w:sz w:val="30"/>
          <w:szCs w:val="30"/>
        </w:rPr>
      </w:pPr>
    </w:p>
    <w:p w14:paraId="3497C547">
      <w:pPr>
        <w:spacing w:line="540" w:lineRule="exact"/>
        <w:jc w:val="center"/>
        <w:rPr>
          <w:rFonts w:hAnsi="宋体" w:eastAsia="仿宋_GB2312" w:cs="宋体"/>
          <w:kern w:val="0"/>
          <w:sz w:val="30"/>
          <w:szCs w:val="30"/>
        </w:rPr>
      </w:pPr>
    </w:p>
    <w:p w14:paraId="4989E6E8">
      <w:pPr>
        <w:spacing w:line="540" w:lineRule="exact"/>
        <w:jc w:val="center"/>
        <w:rPr>
          <w:rFonts w:hAnsi="宋体" w:eastAsia="仿宋_GB2312" w:cs="宋体"/>
          <w:kern w:val="0"/>
          <w:sz w:val="30"/>
          <w:szCs w:val="30"/>
        </w:rPr>
      </w:pPr>
    </w:p>
    <w:p w14:paraId="1116ADE7">
      <w:pPr>
        <w:spacing w:line="540" w:lineRule="exact"/>
        <w:jc w:val="center"/>
        <w:rPr>
          <w:rFonts w:hAnsi="宋体" w:eastAsia="仿宋_GB2312" w:cs="宋体"/>
          <w:kern w:val="0"/>
          <w:sz w:val="30"/>
          <w:szCs w:val="30"/>
        </w:rPr>
      </w:pPr>
    </w:p>
    <w:p w14:paraId="7D3C016B">
      <w:pPr>
        <w:spacing w:line="540" w:lineRule="exact"/>
        <w:jc w:val="center"/>
        <w:rPr>
          <w:rFonts w:hAnsi="宋体" w:eastAsia="仿宋_GB2312" w:cs="宋体"/>
          <w:kern w:val="0"/>
          <w:sz w:val="30"/>
          <w:szCs w:val="30"/>
        </w:rPr>
      </w:pPr>
    </w:p>
    <w:p w14:paraId="25F8D3D6">
      <w:pPr>
        <w:spacing w:line="540" w:lineRule="exact"/>
        <w:rPr>
          <w:rFonts w:hAnsi="宋体" w:eastAsia="仿宋_GB2312" w:cs="宋体"/>
          <w:kern w:val="0"/>
          <w:sz w:val="30"/>
          <w:szCs w:val="30"/>
        </w:rPr>
      </w:pPr>
    </w:p>
    <w:p w14:paraId="4EBB4D99">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14:paraId="2F491361">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楷体" w:hAnsi="楷体" w:eastAsia="楷体"/>
          <w:spacing w:val="-4"/>
          <w:sz w:val="32"/>
          <w:szCs w:val="32"/>
        </w:rPr>
        <w:t>自治区政协基层补助经费</w:t>
      </w:r>
    </w:p>
    <w:p w14:paraId="3C4CB3A2">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8"/>
          <w:rFonts w:hint="eastAsia" w:ascii="楷体" w:hAnsi="楷体" w:eastAsia="楷体"/>
          <w:spacing w:val="-4"/>
          <w:sz w:val="28"/>
          <w:szCs w:val="28"/>
        </w:rPr>
        <w:t>中国政治协商会议木垒哈萨克自治县委员会</w:t>
      </w:r>
    </w:p>
    <w:p w14:paraId="044D81A7">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中国政治协商会议木垒哈萨克自治县委员会</w:t>
      </w:r>
      <w:bookmarkStart w:id="0" w:name="_GoBack"/>
      <w:bookmarkEnd w:id="0"/>
    </w:p>
    <w:p w14:paraId="58969BA3">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8"/>
          <w:rFonts w:hint="eastAsia" w:ascii="楷体" w:hAnsi="楷体" w:eastAsia="楷体"/>
          <w:spacing w:val="-4"/>
          <w:sz w:val="32"/>
          <w:szCs w:val="32"/>
        </w:rPr>
        <w:t>马建文</w:t>
      </w:r>
    </w:p>
    <w:p w14:paraId="0B46408E">
      <w:pPr>
        <w:spacing w:line="540" w:lineRule="exact"/>
        <w:ind w:left="273" w:firstLine="567"/>
        <w:rPr>
          <w:rStyle w:val="18"/>
          <w:rFonts w:ascii="楷体" w:hAnsi="楷体" w:eastAsia="楷体"/>
          <w:spacing w:val="-4"/>
          <w:sz w:val="32"/>
          <w:szCs w:val="32"/>
        </w:rPr>
      </w:pPr>
      <w:r>
        <w:rPr>
          <w:rFonts w:hint="eastAsia" w:hAnsi="宋体" w:eastAsia="仿宋_GB2312" w:cs="宋体"/>
          <w:kern w:val="0"/>
          <w:sz w:val="36"/>
          <w:szCs w:val="36"/>
        </w:rPr>
        <w:t>填报时间：</w:t>
      </w:r>
      <w:r>
        <w:rPr>
          <w:rStyle w:val="18"/>
          <w:rFonts w:hint="eastAsia" w:ascii="楷体" w:hAnsi="楷体" w:eastAsia="楷体"/>
          <w:spacing w:val="-4"/>
          <w:sz w:val="32"/>
          <w:szCs w:val="32"/>
        </w:rPr>
        <w:t>2024年04月26日</w:t>
      </w:r>
    </w:p>
    <w:p w14:paraId="3ACB5F80">
      <w:pPr>
        <w:spacing w:line="700" w:lineRule="exact"/>
        <w:ind w:firstLine="708" w:firstLineChars="236"/>
        <w:jc w:val="left"/>
        <w:rPr>
          <w:rFonts w:hAnsi="宋体" w:eastAsia="仿宋_GB2312" w:cs="宋体"/>
          <w:kern w:val="0"/>
          <w:sz w:val="30"/>
          <w:szCs w:val="30"/>
        </w:rPr>
      </w:pPr>
    </w:p>
    <w:p w14:paraId="377AD81E">
      <w:pPr>
        <w:spacing w:line="540" w:lineRule="exact"/>
        <w:rPr>
          <w:rStyle w:val="18"/>
          <w:rFonts w:ascii="黑体" w:hAnsi="黑体" w:eastAsia="黑体"/>
          <w:b w:val="0"/>
          <w:spacing w:val="-4"/>
          <w:sz w:val="32"/>
          <w:szCs w:val="32"/>
        </w:rPr>
      </w:pPr>
    </w:p>
    <w:p w14:paraId="2E8C3D98">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一、基本情况</w:t>
      </w:r>
    </w:p>
    <w:p w14:paraId="2171852E">
      <w:pPr>
        <w:spacing w:line="540" w:lineRule="exact"/>
        <w:ind w:firstLine="567"/>
        <w:rPr>
          <w:rStyle w:val="18"/>
          <w:rFonts w:hint="default" w:ascii="楷体" w:hAnsi="楷体" w:eastAsia="楷体"/>
          <w:spacing w:val="-4"/>
          <w:sz w:val="32"/>
          <w:szCs w:val="32"/>
          <w:lang w:val="en-US" w:eastAsia="zh-CN"/>
        </w:rPr>
      </w:pPr>
      <w:r>
        <w:rPr>
          <w:rStyle w:val="18"/>
          <w:rFonts w:hint="eastAsia" w:ascii="楷体" w:hAnsi="楷体" w:eastAsia="楷体"/>
          <w:spacing w:val="-4"/>
          <w:sz w:val="32"/>
          <w:szCs w:val="32"/>
        </w:rPr>
        <w:t>（一）项目概况</w:t>
      </w:r>
      <w:r>
        <w:rPr>
          <w:rStyle w:val="18"/>
          <w:rFonts w:hint="eastAsia" w:ascii="楷体" w:hAnsi="楷体" w:eastAsia="楷体"/>
          <w:spacing w:val="-4"/>
          <w:sz w:val="32"/>
          <w:szCs w:val="32"/>
          <w:lang w:eastAsia="zh-CN"/>
        </w:rPr>
        <w:t>。</w:t>
      </w:r>
    </w:p>
    <w:p w14:paraId="2CC90269">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1.项目背景:</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随着我国政治体制的不断完善和社会快速发展，政协作为重要的政治协商、民主监督和参政议政机构，在推动国家治理体系和治理能力现代化中发挥着越来越重要的作用。为进一步提升政协履职能力和水平，加强对政协工作的支持，特设立政协工作经费补助项目。本项目旨在通过合理、有效的经费补助，确保政协工作的高效运转，促进政协更好地履行政治协商、民主监督、参政议政、凝聚共识工作职能，为实现中华民族伟大复兴的中国梦贡献力量。</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为了进一步夯实基层基础，促进村级组织依法有效履行职能，建立健全“资金稳定、管理规范、责任明晰、保障有力”的村级组织运转经费保障机制，根据《昌州财行（2023）号自治区政协关于对2024年基层政协工作补助经费5万元的通知文件》立项，主要用于以下方面：政协办公室及会议室粉刷及环境整治，我单位实施了基层政协工作补助经费项目。</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2、项目主要内容：</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根据昌州财行（2023）号自治区政协关于对2024年基层政协工作补助经费5万元的通知，主要用于政协办公室工作经费。</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项目资金主要用于2023年政协办公室及会议室粉刷及工作经费支出。</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3.项目实施情况：</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2023年5月政协办公室组织实施该项目，通过签订施工合同，于5月底前按期完成了办公室的环境整治及粉刷工作。 </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自2023年5月开始政协办公室已完成自治区补助经费的项目工作。能够按照相关的文件要求进行施工。 </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4.资金投入和使用情况</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自治区关于下达对2023年基层政协工作经费补助的项目资金于2023年5月昌州财行（2023）安排资金为5万元，为上级财政资金，实际到位率5万元，资金到位率100%，实际执行5万元，执行率100%，资金落实到位。为确保项目资金的安全有效使用、安全运行，提高资金的使用效率，我单位严格按照木垒县政协办公室财务会计内部控制制度执行，资金由财政大平台统一拨付，由财政监管，严禁随意调整预算，改变支出用途，做到专款专用，严禁截留、挪用、挤占项目资金等违规违纪问题的发生。   </w:t>
      </w:r>
    </w:p>
    <w:p w14:paraId="6EF7BB2F">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（二）项目绩效目标</w:t>
      </w:r>
    </w:p>
    <w:p w14:paraId="389D93DC">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1.总体目标：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2023年自治区政协对基层政协经费补助5万元，主要用于政协办公室会议室的粉刷及提升政协委员活动室的利用率，改善办公环境，积极发挥委员作用。</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2.阶段性目标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2024时间，在政协办公室地，使用基层政协工作经费补助资金5万元。</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2023年5月31日前完成政协办公室环境整治及粉刷会议室工作。</w:t>
      </w:r>
    </w:p>
    <w:p w14:paraId="66487D46">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二、绩效评价工作开展情况</w:t>
      </w:r>
    </w:p>
    <w:p w14:paraId="7807F409">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（一）绩效评价目的、对象和范围</w:t>
      </w:r>
    </w:p>
    <w:p w14:paraId="60E94BCF">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1.绩效评价目的</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通过对2023年度上级财政下拨的关于基层政协工作补助经费项目资金进行绩效评价，衡量项目资金的“产出”与“绩效”，了解、分析、检验项目是否达到预期目标，资金使用是否有效，为以后年度安排财政资金提供重要依据。同时，及时总结经验，分析存在的问题，采取切实有效的措施进一步改进和加强财政支出项目管理，切实提高财政资金使用效益。</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2.绩效评价对象</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木垒县政协基层政协工作经费补助项目支出资金。</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3.绩效评价范围</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评价主要对木垒县木垒县政协关于自治区政协基层补助经费项目的工作完成情况、完成效果及公众满意度进行评价，具体从项目决策（包括绩效目标、决策过程）、项目过程（包括项目资金、项目实施）、项目产出（包括项目产出数量、产出质量、产出时效和产出成本）、项目效益四个维度来评价。</w:t>
      </w:r>
    </w:p>
    <w:p w14:paraId="7E6BDC72">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（二）绩效评价原则、评价指标体系、评价方法、评价标准</w:t>
      </w:r>
    </w:p>
    <w:p w14:paraId="611E8BCC">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（二）绩效评价原则、评价指标体系、评价方法、评价标准等</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1.绩效评价原则</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本次绩效评价严格按照《财政部关于印发&lt;项目支出绩效评价管理办法&gt;的通知》（财预【2020】10号）等文件要求，按照科学合理的方式，综合分析考核项目的绩效情况。</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（1）科学规范原则。坚持严格执行规定的程序，按照科学可行的要求，采用定量与定性分析相结合的方法。</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（2）公正公开原则。坚持符合真实、客观、公正的要求，依法公开并接受监督。</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（3）分级分类原则。坚持根据评价对象的特点分类组织实施。</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（4）绩效相关原则。应当针对具体支出及其产出绩效进行，评价结果应当清晰反映支出和产出绩效之间的紧密对应关系。</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2.评价指标体系</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项目特征及具体情况，本次绩效评价指标体系主要分为共性指标和个性指标两大类。共性指标下设决策与过程1个一级指标，其中：项目决策下项目立项、绩效目标、资金投入2个二级指标；过程下设资金管理和组织实施2个二级指标。个性指标下设产出和效益2个一级指标，其中产出下设产出数量、产出质量、产出时效、产出成本2个二级指标，效益下设项目效益2个二级指标。并以此设定各项指标的分值分配：决策、过程、产出、效果。本次绩效评价实行百分制，即各项指标值之和为100分，项目采用综合评分法进行绩效评价。见附表1。</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3.评价方法</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本项目主要采用全面评价和重点评价相结合、现场评价和非现场评价相结合的方式，运用综合评分法进行评价。</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4.评价标准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评价标准主要包括：计划标准、行业标准、历史标准、其他经财政部门确认的标准。本次评价主要是参照计划标准和历史标准制定，对于已经制定计划目标的指标，则直接用实际情况与计划情况相比较进行评价。对于没有制定计划目标的指标，则参照历史标准进行评价。</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财政支出绩效评价指标包括两大类，一类是定量指标，一类是定性指标。本次绩效评价采用“定量的指标体系的打分评价”+“定性的调查信息的归纳和提炼”，两种方式互相补充以构成对本次项目的完整评价。</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项目支出绩效评价管理办法》(财预〔2020〕10号)的规定，绩效评价结果采取评分和评级相结合的方式，具体分值和等级可根据不同评价内容设定。总分设置为100分，等级划分为四档：90（含）-100分为“优”、80（含）-90分为“良”、60（含）-80分为“中”、60分以下为“差”。</w:t>
      </w:r>
    </w:p>
    <w:p w14:paraId="1D5DD75B">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（三）绩效评价工作过程</w:t>
      </w:r>
    </w:p>
    <w:p w14:paraId="3DE05897">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1.前期准备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1.1 2024年1月20日，我单位在收到自评工作任务后及时组织了绩效评价工作小组，其中分管办公室财务共作的一位副主席任组长，主要负责工作安排，办公室主任为副组长，主要负责报告的审核、指导，财务人员负责资料、数据整理，编制报告。小组制定了项目评价的工作思路及工作安排，参考学习了相关政策制度、实施方案和相关的工作文件，为评价工作的开展提供工作指引。</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   1.2 2024年1月25日，评价组通过前期调研确定绩效评价对象和范围，确定了评价的目的、方法以及评价的原则；</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1.3 2024年1月30日，根据项目的实施内容和特征制定了评价指标体系及评价标准以及评价实施方案，修正并确定所需资料清单，最终确定绩效评价工作方案；</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2.组织实施</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2024年2月25日- 3月31日，评价工作进入实施阶段：</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（1）评价组收集绩效评价相关数据资料，进行现场调研、座谈；</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评价小组根据项目的实施情况、资金的分配和使用情况、项目自评情况，及时与项目实施人员沟通协商，对项目的实施全过程工作进行核实，并做了相关问卷调查，据实酌情调整完善评价指标体系，剖析问题产生原因。</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3.分析评价：</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2024年3月1日- 3月31日，评价组按照绩效评价的原则和规范，对取得的资料进行审查核实，对采集的数据进行分析，按照绩效评价指标评分表逐项进行打分、分析，汇总各方评价结果，综合分析并形成评价结论。</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4.撰写报告</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评价小组根据对项目的资料、实施情况进行核实分析后，围绕评价体系对项目支出绩效进行了评价打分，并撰写了绩效评价报告，报告编制完成后上报至单位领导处进行定稿，最终将定稿报告上报至木垒县财政局。</w:t>
      </w:r>
    </w:p>
    <w:p w14:paraId="41E181D0">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三、综合评价情况及评价结论</w:t>
      </w:r>
    </w:p>
    <w:p w14:paraId="7D020E1C">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（一）综合评价情况及评价结论</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木垒县政协办公室主要负责项目实施等工作，财政部门负责资金拨付等工作，为确保项目顺利实施，我单位将进行责任分工明确。为加强财政支出管理，提高资金使用效益，我单位确保项目管理进度落实到人，项目已全部完成，验收合格。评价小组对本项目的立项、项目绩效目标、资金投入、资金管理、组织实施、产出数量、产出质量、产出时效、产出成本、项目效益进行了综合评价。</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本项目通过制定的评价指标体系及评分标准，运用数据采集、问卷调查及访谈等方式，对本项目绩效进行客观评价，最终评分结果：总分为90分。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（二）相关评分表</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各部分权重和绩效分值如下表所示：（详细评分表见附表）</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指标</w:t>
      </w:r>
      <w:r>
        <w:rPr>
          <w:rStyle w:val="18"/>
          <w:rFonts w:hint="eastAsia" w:ascii="楷体" w:hAnsi="楷体" w:eastAsia="楷体"/>
          <w:b w:val="0"/>
          <w:bCs w:val="0"/>
          <w:spacing w:val="-4"/>
          <w:sz w:val="32"/>
          <w:szCs w:val="32"/>
        </w:rPr>
        <w:tab/>
        <w:t>项目决策</w:t>
      </w:r>
      <w:r>
        <w:rPr>
          <w:rStyle w:val="18"/>
          <w:rFonts w:hint="eastAsia" w:ascii="楷体" w:hAnsi="楷体" w:eastAsia="楷体"/>
          <w:b w:val="0"/>
          <w:bCs w:val="0"/>
          <w:spacing w:val="-4"/>
          <w:sz w:val="32"/>
          <w:szCs w:val="32"/>
        </w:rPr>
        <w:tab/>
        <w:t>项目管理</w:t>
      </w:r>
      <w:r>
        <w:rPr>
          <w:rStyle w:val="18"/>
          <w:rFonts w:hint="eastAsia" w:ascii="楷体" w:hAnsi="楷体" w:eastAsia="楷体"/>
          <w:b w:val="0"/>
          <w:bCs w:val="0"/>
          <w:spacing w:val="-4"/>
          <w:sz w:val="32"/>
          <w:szCs w:val="32"/>
        </w:rPr>
        <w:tab/>
        <w:t>项目产出</w:t>
      </w:r>
      <w:r>
        <w:rPr>
          <w:rStyle w:val="18"/>
          <w:rFonts w:hint="eastAsia" w:ascii="楷体" w:hAnsi="楷体" w:eastAsia="楷体"/>
          <w:b w:val="0"/>
          <w:bCs w:val="0"/>
          <w:spacing w:val="-4"/>
          <w:sz w:val="32"/>
          <w:szCs w:val="32"/>
        </w:rPr>
        <w:tab/>
        <w:t>项目效益</w:t>
      </w:r>
      <w:r>
        <w:rPr>
          <w:rStyle w:val="18"/>
          <w:rFonts w:hint="eastAsia" w:ascii="楷体" w:hAnsi="楷体" w:eastAsia="楷体"/>
          <w:b w:val="0"/>
          <w:bCs w:val="0"/>
          <w:spacing w:val="-4"/>
          <w:sz w:val="32"/>
          <w:szCs w:val="32"/>
        </w:rPr>
        <w:tab/>
        <w:t>合计分值</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权重</w:t>
      </w:r>
      <w:r>
        <w:rPr>
          <w:rStyle w:val="18"/>
          <w:rFonts w:hint="eastAsia" w:ascii="楷体" w:hAnsi="楷体" w:eastAsia="楷体"/>
          <w:b w:val="0"/>
          <w:bCs w:val="0"/>
          <w:spacing w:val="-4"/>
          <w:sz w:val="32"/>
          <w:szCs w:val="32"/>
        </w:rPr>
        <w:tab/>
        <w:t>15</w:t>
      </w:r>
      <w:r>
        <w:rPr>
          <w:rStyle w:val="18"/>
          <w:rFonts w:hint="eastAsia" w:ascii="楷体" w:hAnsi="楷体" w:eastAsia="楷体"/>
          <w:b w:val="0"/>
          <w:bCs w:val="0"/>
          <w:spacing w:val="-4"/>
          <w:sz w:val="32"/>
          <w:szCs w:val="32"/>
        </w:rPr>
        <w:tab/>
        <w:t>15</w:t>
      </w:r>
      <w:r>
        <w:rPr>
          <w:rStyle w:val="18"/>
          <w:rFonts w:hint="eastAsia" w:ascii="楷体" w:hAnsi="楷体" w:eastAsia="楷体"/>
          <w:b w:val="0"/>
          <w:bCs w:val="0"/>
          <w:spacing w:val="-4"/>
          <w:sz w:val="32"/>
          <w:szCs w:val="32"/>
        </w:rPr>
        <w:tab/>
        <w:t>50</w:t>
      </w:r>
      <w:r>
        <w:rPr>
          <w:rStyle w:val="18"/>
          <w:rFonts w:hint="eastAsia" w:ascii="楷体" w:hAnsi="楷体" w:eastAsia="楷体"/>
          <w:b w:val="0"/>
          <w:bCs w:val="0"/>
          <w:spacing w:val="-4"/>
          <w:sz w:val="32"/>
          <w:szCs w:val="32"/>
        </w:rPr>
        <w:tab/>
        <w:t>20</w:t>
      </w:r>
      <w:r>
        <w:rPr>
          <w:rStyle w:val="18"/>
          <w:rFonts w:hint="eastAsia" w:ascii="楷体" w:hAnsi="楷体" w:eastAsia="楷体"/>
          <w:b w:val="0"/>
          <w:bCs w:val="0"/>
          <w:spacing w:val="-4"/>
          <w:sz w:val="32"/>
          <w:szCs w:val="32"/>
        </w:rPr>
        <w:tab/>
        <w:t>100</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分值</w:t>
      </w:r>
      <w:r>
        <w:rPr>
          <w:rStyle w:val="18"/>
          <w:rFonts w:hint="eastAsia" w:ascii="楷体" w:hAnsi="楷体" w:eastAsia="楷体"/>
          <w:b w:val="0"/>
          <w:bCs w:val="0"/>
          <w:spacing w:val="-4"/>
          <w:sz w:val="32"/>
          <w:szCs w:val="32"/>
        </w:rPr>
        <w:tab/>
        <w:t>15</w:t>
      </w:r>
      <w:r>
        <w:rPr>
          <w:rStyle w:val="18"/>
          <w:rFonts w:hint="eastAsia" w:ascii="楷体" w:hAnsi="楷体" w:eastAsia="楷体"/>
          <w:b w:val="0"/>
          <w:bCs w:val="0"/>
          <w:spacing w:val="-4"/>
          <w:sz w:val="32"/>
          <w:szCs w:val="32"/>
        </w:rPr>
        <w:tab/>
        <w:t>15</w:t>
      </w:r>
      <w:r>
        <w:rPr>
          <w:rStyle w:val="18"/>
          <w:rFonts w:hint="eastAsia" w:ascii="楷体" w:hAnsi="楷体" w:eastAsia="楷体"/>
          <w:b w:val="0"/>
          <w:bCs w:val="0"/>
          <w:spacing w:val="-4"/>
          <w:sz w:val="32"/>
          <w:szCs w:val="32"/>
        </w:rPr>
        <w:tab/>
        <w:t>45</w:t>
      </w:r>
      <w:r>
        <w:rPr>
          <w:rStyle w:val="18"/>
          <w:rFonts w:hint="eastAsia" w:ascii="楷体" w:hAnsi="楷体" w:eastAsia="楷体"/>
          <w:b w:val="0"/>
          <w:bCs w:val="0"/>
          <w:spacing w:val="-4"/>
          <w:sz w:val="32"/>
          <w:szCs w:val="32"/>
        </w:rPr>
        <w:tab/>
        <w:t>15</w:t>
      </w:r>
      <w:r>
        <w:rPr>
          <w:rStyle w:val="18"/>
          <w:rFonts w:hint="eastAsia" w:ascii="楷体" w:hAnsi="楷体" w:eastAsia="楷体"/>
          <w:b w:val="0"/>
          <w:bCs w:val="0"/>
          <w:spacing w:val="-4"/>
          <w:sz w:val="32"/>
          <w:szCs w:val="32"/>
        </w:rPr>
        <w:tab/>
        <w:t>90</w:t>
      </w:r>
    </w:p>
    <w:p w14:paraId="2AFF0044">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四、绩效评价指标分析</w:t>
      </w:r>
      <w:r>
        <w:rPr>
          <w:rStyle w:val="18"/>
          <w:rFonts w:hint="eastAsia" w:ascii="黑体" w:hAnsi="黑体" w:eastAsia="黑体"/>
        </w:rPr>
        <w:t xml:space="preserve"> </w:t>
      </w:r>
    </w:p>
    <w:p w14:paraId="54C36A1C">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w:t>
      </w:r>
      <w:r>
        <w:rPr>
          <w:rStyle w:val="18"/>
          <w:rFonts w:hint="eastAsia" w:ascii="楷体" w:hAnsi="楷体" w:eastAsia="楷体"/>
          <w:spacing w:val="-4"/>
          <w:sz w:val="32"/>
          <w:szCs w:val="32"/>
        </w:rPr>
        <w:t>项目决策情况</w:t>
      </w:r>
    </w:p>
    <w:p w14:paraId="1D17C7C1">
      <w:pPr>
        <w:tabs>
          <w:tab w:val="center" w:pos="4295"/>
        </w:tabs>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（一）项目决策情况</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1.立项依据充分性</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（1）项目立项依据《自治区下达2023年基层政协补助经费的通知》。</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（2）项目立项符合行业发展规划和政策要求。</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（3）项目立项与部门职责范围相符，属于部门履职所需。</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2.立项程序规范性</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①项目立项程序：提报项目建议书、申请立项过程等均按照立项程序的相关规定进行；</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②审批文件、材料：本项目审批文件有：《自治区下达2023年基层政协补助经费的通知》，审批文件及材料齐全；</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③项目事前工作：本项目已经过必要的可行性研究、专家论证、风险评估、绩效评估、集体决策。</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3.绩效目标合理性</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自治区政协基层补助经费的通知，项目设立了项目绩效目标，与政协办公室实施办公环境改善和粉刷具有相关性，项目的预期产出效益和效果也均能符合正常的业绩水平，并且与预算确定的项目投资额或资金量相匹配。</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4.绩效指标明确性</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自治区基层政协工作经费补助项目将项目绩效目标细化分解为具体的绩效指标，一级指标共4条，二级指标共6条，三级指标共7条，其中量化指标条数共7条，所有绩效指标均通过清晰、可衡量的指标值予以体现，并且做到了与项目目标任务数或计划数相对应。</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5.预算编制科学性</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建设内容及工程量严格按照项目预算编制进行计算，预算数经过政协党组会议研究讨论通过后确定，预算内容与项目内容无偏差，预算额度测算依据充分，项目投资额与工作任务匹配性100%，不存在偏差性。</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6.资金分配合理性</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 本项目预算资金分配依据《关于下达2023年自治区政协基层补助经费批复》昌州财行（2023）5号，项目资金分配额度无偏低或偏高情况，分配额度合理。项目单位为木垒县政协办公室，单位位于木垒县，资金分配与单位实际相适应。</w:t>
      </w:r>
      <w:r>
        <w:rPr>
          <w:rStyle w:val="18"/>
          <w:rFonts w:hint="eastAsia" w:ascii="楷体" w:hAnsi="楷体" w:eastAsia="楷体"/>
          <w:b w:val="0"/>
          <w:bCs w:val="0"/>
          <w:spacing w:val="-4"/>
          <w:sz w:val="32"/>
          <w:szCs w:val="32"/>
        </w:rPr>
        <w:tab/>
      </w:r>
    </w:p>
    <w:p w14:paraId="4449387F">
      <w:pPr>
        <w:spacing w:line="540" w:lineRule="exact"/>
        <w:ind w:firstLine="567" w:firstLineChars="181"/>
        <w:rPr>
          <w:rStyle w:val="18"/>
          <w:rFonts w:ascii="楷体" w:hAnsi="楷体" w:eastAsia="楷体"/>
          <w:spacing w:val="-4"/>
          <w:sz w:val="32"/>
          <w:szCs w:val="32"/>
        </w:rPr>
      </w:pPr>
      <w:r>
        <w:rPr>
          <w:rFonts w:hint="eastAsia" w:ascii="楷体" w:hAnsi="楷体" w:eastAsia="楷体"/>
          <w:b/>
          <w:spacing w:val="-4"/>
          <w:sz w:val="32"/>
          <w:szCs w:val="32"/>
        </w:rPr>
        <w:t>（二）</w:t>
      </w:r>
      <w:r>
        <w:rPr>
          <w:rStyle w:val="18"/>
          <w:rFonts w:hint="eastAsia" w:ascii="楷体" w:hAnsi="楷体" w:eastAsia="楷体"/>
          <w:spacing w:val="-4"/>
          <w:sz w:val="32"/>
          <w:szCs w:val="32"/>
        </w:rPr>
        <w:t>项目过程情况</w:t>
      </w:r>
    </w:p>
    <w:p w14:paraId="7410FE99">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（二）项目过程情况</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1.资金到位率：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实际到位资金5万元，预算资金5万元，资金到位率100%。</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2.预算执行率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年初预算数5万元，全年预算数5万元，全年执行数5万元，预算执行率为100%。</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3.资金使用合规性</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3.1 资金使用符合、财务管理制度以及有关专项资金管理办法的规定；</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3.2 资金的拨付严格按照木垒县单位资金拨付审批程序进行：由财政局文行科室提交预算科申请到分管业务领导，经审批后提交到财政局。项目资金拨付手续齐全，资金拨付手续有：关于下达2023年资金申请单递交相关领导进行审核。 </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3.3 本项目资金合同规定的用途为：施工合同及双方签订协议，符合项目预算批复及合同规定的用途；</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3.4 项目资金截至2023年4月30日已拨付至100%，过程不存在截留、挤占、挪用、虚列支出等情况。</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4.管理制度健全性</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4.1 本项目已制定《木垒县政协办公室基层政协工作经费补助项目财务管理制度》、《木垒县政协项目业务管理制度》，管理制度健全；</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4.2 本项目财务及业务管理制度符合《中华人民共和国政府采购法》、《中华人民共和国会计法》等相关法律法规，财务和业务管理制度已经过政协党组会议研究审批通过，确保了各项制度的合法合规性及完整性。</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5.制度执行有效性</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    5.1 项目的审批、招标、建设、验收过程均遵守相关法律法规和相关管理规定；</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5.2 本项目无调整情况 </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5.3 项目合同书、验收报告、技术鉴定等资料齐全并已及时归档附财务凭证之后；</w:t>
      </w:r>
    </w:p>
    <w:p w14:paraId="6D1668D8">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w:t>
      </w:r>
      <w:r>
        <w:rPr>
          <w:rStyle w:val="18"/>
          <w:rFonts w:hint="eastAsia" w:ascii="楷体" w:hAnsi="楷体" w:eastAsia="楷体"/>
          <w:spacing w:val="-4"/>
          <w:sz w:val="32"/>
          <w:szCs w:val="32"/>
        </w:rPr>
        <w:t>项目产出情况</w:t>
      </w:r>
    </w:p>
    <w:p w14:paraId="2C29F583">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（三）项目产出情况：</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我单位基层政协工作经费补助，项目截止到2023年12月31日，已完成此项目；其中：</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1.项目完成数量</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指标1：完成政协会议室的粉刷，指标值：≥45平米，实际完成值45平米，指标完成率100%，无偏差； </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指标1：设施更新数量，指标值：≥1个，实际完成值1个，指标完成率100%，无偏差； </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2.项目完成质量：</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指标1：项目验收合格率，指标值：=100%，实际完成值100%，指标完成率100%，无偏差；</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3.项目完成时效</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指标1：项目完成及时率，指标值：=100% ，实际完成值100%，指标完成率100%，无偏差；</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 4.项目完成成本</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指标1：项目预算控制率，指标值：≤100% ，实际完成值100%，指标完成率100%，无偏差； </w:t>
      </w:r>
    </w:p>
    <w:p w14:paraId="3924281E">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（四）</w:t>
      </w:r>
      <w:r>
        <w:rPr>
          <w:rStyle w:val="18"/>
          <w:rFonts w:hint="eastAsia" w:ascii="楷体" w:hAnsi="楷体" w:eastAsia="楷体"/>
          <w:spacing w:val="-4"/>
          <w:sz w:val="32"/>
          <w:szCs w:val="32"/>
        </w:rPr>
        <w:t>项目效益情况</w:t>
      </w:r>
    </w:p>
    <w:p w14:paraId="5CDD0C5A">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（四）项目效益情况。</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我单位基层政协工作经费项目截止到2023年12月31日，已完成社会效益指标；其中：</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1.项目实施的经济效益分析：</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2.项目实施的社会效益分析</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指标1：会议室正常使用率 ，指标值：=100% ，实际完成值100%，指标完成率100%，无偏差；</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3.项目实施的生态效益分析</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4.项目实施的可持续影响分析</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无设此项指标。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（五）满意度指标完成情况分析</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指标1：办公人员满意度，指标值：≥95% ，实际完成值95%，指标完成率100%。</w:t>
      </w:r>
    </w:p>
    <w:p w14:paraId="01016E8A">
      <w:pPr>
        <w:spacing w:line="540" w:lineRule="exact"/>
        <w:ind w:firstLine="567"/>
        <w:rPr>
          <w:rStyle w:val="18"/>
          <w:rFonts w:ascii="楷体" w:hAnsi="楷体" w:eastAsia="楷体"/>
          <w:spacing w:val="-4"/>
          <w:sz w:val="32"/>
          <w:szCs w:val="32"/>
        </w:rPr>
      </w:pPr>
    </w:p>
    <w:p w14:paraId="357143BE">
      <w:pPr>
        <w:numPr>
          <w:ilvl w:val="0"/>
          <w:numId w:val="1"/>
        </w:num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lang w:val="en-US" w:eastAsia="zh-CN"/>
        </w:rPr>
        <w:t>预算执行进度与绩效指标偏差</w:t>
      </w:r>
    </w:p>
    <w:p w14:paraId="3755460D">
      <w:pPr>
        <w:spacing w:line="540" w:lineRule="exact"/>
        <w:ind w:firstLine="567"/>
        <w:rPr>
          <w:rStyle w:val="18"/>
          <w:rFonts w:hint="default" w:ascii="黑体" w:hAnsi="黑体" w:eastAsia="黑体"/>
          <w:b w:val="0"/>
          <w:spacing w:val="-4"/>
          <w:sz w:val="32"/>
          <w:szCs w:val="32"/>
          <w:lang w:val="en-US" w:eastAsia="zh-CN"/>
        </w:rPr>
      </w:pPr>
      <w:r>
        <w:rPr>
          <w:rStyle w:val="18"/>
          <w:rFonts w:hint="eastAsia" w:ascii="楷体" w:hAnsi="楷体" w:eastAsia="楷体"/>
          <w:b w:val="0"/>
          <w:bCs w:val="0"/>
          <w:spacing w:val="-4"/>
          <w:sz w:val="32"/>
          <w:szCs w:val="32"/>
        </w:rPr>
        <w:t>（一）预算执行进度</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    根据政协办公室办公环境整治及粉刷合同内容及工程进度，政协办公室于2023年5月10日拨付5万元至装修公司、截至2023年12月31日已执行5万元，预算执行率100%。</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   （二）绩效指标偏差</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本项目绩效指标无偏差情况。 </w:t>
      </w:r>
    </w:p>
    <w:p w14:paraId="3CC33C48">
      <w:pPr>
        <w:numPr>
          <w:ilvl w:val="0"/>
          <w:numId w:val="1"/>
        </w:num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rPr>
        <w:t>主要经验及做法、存在的问题及原因分析</w:t>
      </w:r>
    </w:p>
    <w:p w14:paraId="54ACF4C2">
      <w:pPr>
        <w:spacing w:line="540" w:lineRule="exact"/>
        <w:ind w:firstLine="567"/>
        <w:rPr>
          <w:rFonts w:ascii="仿宋_GB2312" w:eastAsia="仿宋_GB2312"/>
          <w:spacing w:val="-4"/>
          <w:sz w:val="32"/>
          <w:szCs w:val="32"/>
        </w:rPr>
      </w:pPr>
      <w:r>
        <w:rPr>
          <w:rStyle w:val="18"/>
          <w:rFonts w:hint="eastAsia" w:ascii="楷体" w:hAnsi="楷体" w:eastAsia="楷体"/>
          <w:b w:val="0"/>
          <w:bCs w:val="0"/>
          <w:spacing w:val="-4"/>
          <w:sz w:val="32"/>
          <w:szCs w:val="32"/>
        </w:rPr>
        <w:t xml:space="preserve">（一）主要经验及做法： </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（1）是领导高度重视。专项资金预算下拨后，主要领导和分管领导高度重视，落实责任分工，确保项目顺利进行。</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（2）是管理愈加规范。制定了专项资金管理工作制度，明确了资金付款流程，统一了资金申请手续，做到了层层审核、层层负责、层层把关，付款中全部要求请款单位提供正规发票，没用白条入账现象。</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加强培训，提高工程管理水平。为提高工程管理人员对工程项目的管理水平，教育、建设部门组织了工程项目管理、施工安全等业务知识培训。通过实地参观施工现场管理和专业人员讲授，进一步规范工程建设程序、施工现场管理、安全管理、资料监督和资金管理，为顺利完成项目建设奠定了坚实的基础。</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进一步加强项目管理和协调服务，全力推进项目建设。推行月报支付，进一步加强项目监管力度。每月定期督查项目投资进度、工程进度、资金来源和使用等推进情况，实行动态监管。进一步加强项目协调推动机制，协调帮助解决项目推进中的困难和问题。强化土地、能源等要素保障。</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加强对项目进展进行实地查看，认真核对上报形象进度和投资额是否与项目进展匹配，发现问题现场及时纠错指正，在项目上报进展的数据中要求项目责任单位实事求是。经过反复对比后才将收集、了解、掌握的项目进展情况表整理，并形成文字材料和进展情况表，编印承报上级部门和各级领导。</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（二）后续工作计划</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我们将进一步加强资金管理、项目管理，用制度、用规范来有效提高项目进度，专人负责资金、专人负责项目现场管理，确保该项目在既定时间内完成所有工程量，达到预期效果。（三）存在的问题及原因分析</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1.存在的问题：</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前期工作不全面，没有深入细致科学规划地做好各项前期工作，项目实施前期已根据项目建设内容设置绩效目标，但项目绩效目标级绩效指标设置过于笼统，不够细化，在实际实施绩效监控和绩效评价时较为困难。</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2.改进措施：</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（1）科学编制预算，提高预算与目标匹配度</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科学的预算编制应该保证预算和目标在质和量上相匹配，即一方面预算应该根据目标来编制，保证每一个目标的实现均有相应的预算安排，另一方面应在合理测算工作量的基础上保证预算编制的准确性。 </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对此，预算单位会同财政部门共同梳理项目绩效目标，合理测算项目工作量，科学编制预算。1.开展进度的跟踪，确保项目绩效目标的完成。规范程序，严格把关。进一步完善项目申报、审核、公示、审批等程序，严格审核切实做好项目信息公开，公开内容要及时、完整、真实，确保项目公平、公开、公正。</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2.健全制度，加强督促。针对项目实施中存在的问题，进一步完善相关制度，加强督促检查，确保质量安全和建设进度；同时及时完善资料，妥善保管合同档案。</w:t>
      </w:r>
    </w:p>
    <w:p w14:paraId="759DFC69">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lang w:val="en-US" w:eastAsia="zh-CN"/>
        </w:rPr>
        <w:t>七</w:t>
      </w:r>
      <w:r>
        <w:rPr>
          <w:rStyle w:val="18"/>
          <w:rFonts w:hint="eastAsia" w:ascii="黑体" w:hAnsi="黑体" w:eastAsia="黑体"/>
          <w:b w:val="0"/>
          <w:spacing w:val="-4"/>
          <w:sz w:val="32"/>
          <w:szCs w:val="32"/>
        </w:rPr>
        <w:t>、有关建议</w:t>
      </w:r>
    </w:p>
    <w:p w14:paraId="0864231D">
      <w:pPr>
        <w:spacing w:line="540" w:lineRule="exact"/>
        <w:ind w:firstLine="567"/>
        <w:rPr>
          <w:rStyle w:val="18"/>
          <w:rFonts w:ascii="楷体" w:hAnsi="楷体" w:eastAsia="楷体"/>
          <w:spacing w:val="-4"/>
          <w:sz w:val="32"/>
          <w:szCs w:val="32"/>
        </w:rPr>
      </w:pPr>
      <w:r>
        <w:rPr>
          <w:rStyle w:val="18"/>
          <w:rFonts w:hint="eastAsia" w:ascii="楷体" w:hAnsi="楷体" w:eastAsia="楷体"/>
          <w:b w:val="0"/>
          <w:bCs w:val="0"/>
          <w:spacing w:val="-4"/>
          <w:sz w:val="32"/>
          <w:szCs w:val="32"/>
        </w:rPr>
        <w:t>1.开展进度的跟踪，确保项目绩效目标的完成。规范程序，严格把关。进一步完善项目申报、审核、公示、审批等程序，严格审核切实做好项目信息公开，公开内容要及时、完整、真实，确保项目公平、公开、公正。</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2.健全制度，加强督促。针对项目实施中存在的问题，进一步完善相关制度，加强督促检查，确保质量安全和建设进度；同时及时完善资料，妥善保管合同档案。</w:t>
      </w:r>
    </w:p>
    <w:p w14:paraId="0284639E">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lang w:val="en-US" w:eastAsia="zh-CN"/>
        </w:rPr>
        <w:t>八</w:t>
      </w:r>
      <w:r>
        <w:rPr>
          <w:rStyle w:val="18"/>
          <w:rFonts w:hint="eastAsia" w:ascii="黑体" w:hAnsi="黑体" w:eastAsia="黑体"/>
          <w:b w:val="0"/>
          <w:spacing w:val="-4"/>
          <w:sz w:val="32"/>
          <w:szCs w:val="32"/>
        </w:rPr>
        <w:t>、其他需要说明的问题</w:t>
      </w:r>
    </w:p>
    <w:p w14:paraId="187FF884">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本次预算绩效评价所采集的数据因为采集时间、数据来源等诸多因素的影响，可能会出现一定的偏差，进而对评价结果存在影响；本次预算绩效评价所采集的数据因为采集时间、数据来源等诸多因素的影响，可能会出现一定的偏差，进而对评价结果存在影响；</w:t>
      </w:r>
    </w:p>
    <w:p w14:paraId="3268B941">
      <w:pPr>
        <w:spacing w:line="540" w:lineRule="exact"/>
        <w:ind w:firstLine="567"/>
        <w:rPr>
          <w:rStyle w:val="18"/>
          <w:rFonts w:ascii="仿宋" w:hAnsi="仿宋" w:eastAsia="仿宋"/>
          <w:b w:val="0"/>
          <w:spacing w:val="-4"/>
          <w:sz w:val="32"/>
          <w:szCs w:val="32"/>
        </w:rPr>
      </w:pPr>
    </w:p>
    <w:p w14:paraId="46D20501">
      <w:pPr>
        <w:spacing w:line="540" w:lineRule="exact"/>
        <w:ind w:firstLine="567"/>
        <w:rPr>
          <w:rStyle w:val="18"/>
          <w:rFonts w:ascii="仿宋" w:hAnsi="仿宋" w:eastAsia="仿宋"/>
          <w:b w:val="0"/>
          <w:spacing w:val="-4"/>
          <w:sz w:val="32"/>
          <w:szCs w:val="32"/>
        </w:rPr>
      </w:pPr>
    </w:p>
    <w:p w14:paraId="13801570">
      <w:pPr>
        <w:spacing w:line="540" w:lineRule="exact"/>
        <w:ind w:firstLine="567"/>
        <w:rPr>
          <w:rStyle w:val="18"/>
          <w:rFonts w:ascii="仿宋" w:hAnsi="仿宋" w:eastAsia="仿宋"/>
          <w:b w:val="0"/>
          <w:spacing w:val="-4"/>
          <w:sz w:val="32"/>
          <w:szCs w:val="32"/>
        </w:rPr>
      </w:pPr>
    </w:p>
    <w:p w14:paraId="306F50CD">
      <w:pPr>
        <w:spacing w:line="540" w:lineRule="exact"/>
        <w:ind w:firstLine="567"/>
        <w:rPr>
          <w:rStyle w:val="18"/>
          <w:rFonts w:ascii="仿宋" w:hAnsi="仿宋" w:eastAsia="仿宋"/>
          <w:b w:val="0"/>
          <w:spacing w:val="-4"/>
          <w:sz w:val="32"/>
          <w:szCs w:val="32"/>
        </w:rPr>
      </w:pPr>
    </w:p>
    <w:p w14:paraId="6C5A09C8">
      <w:pPr>
        <w:spacing w:line="540" w:lineRule="exact"/>
        <w:ind w:firstLine="567"/>
        <w:rPr>
          <w:rStyle w:val="18"/>
          <w:rFonts w:ascii="仿宋" w:hAnsi="仿宋" w:eastAsia="仿宋"/>
          <w:b w:val="0"/>
          <w:spacing w:val="-4"/>
          <w:sz w:val="32"/>
          <w:szCs w:val="32"/>
        </w:rPr>
      </w:pPr>
    </w:p>
    <w:sectPr>
      <w:footerReference r:id="rId3" w:type="default"/>
      <w:pgSz w:w="11906" w:h="16838"/>
      <w:pgMar w:top="1440" w:right="1558" w:bottom="1440" w:left="175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0000000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14:paraId="012D3115">
        <w:pPr>
          <w:pStyle w:val="12"/>
          <w:jc w:val="center"/>
        </w:pPr>
        <w:r>
          <w:fldChar w:fldCharType="begin"/>
        </w:r>
        <w:r>
          <w:instrText xml:space="preserve">PAGE   \* MERGEFORMAT</w:instrText>
        </w:r>
        <w:r>
          <w:fldChar w:fldCharType="separate"/>
        </w:r>
        <w:r>
          <w:rPr>
            <w:lang w:val="zh-CN"/>
          </w:rPr>
          <w:t>2</w:t>
        </w:r>
        <w:r>
          <w:fldChar w:fldCharType="end"/>
        </w:r>
      </w:p>
    </w:sdtContent>
  </w:sdt>
  <w:p w14:paraId="7C43B253">
    <w:pPr>
      <w:pStyle w:val="1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FEA218F"/>
    <w:multiLevelType w:val="singleLevel"/>
    <w:tmpl w:val="3FEA218F"/>
    <w:lvl w:ilvl="0" w:tentative="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BlY2RlZTc4MzFlYzYzZjZmMTg4MDMwODUwYTE2N2UifQ=="/>
  </w:docVars>
  <w:rsids>
    <w:rsidRoot w:val="00CA6457"/>
    <w:rsid w:val="00056465"/>
    <w:rsid w:val="00102DFF"/>
    <w:rsid w:val="0012073C"/>
    <w:rsid w:val="00121AE4"/>
    <w:rsid w:val="00146AAD"/>
    <w:rsid w:val="00151FA7"/>
    <w:rsid w:val="001B3A40"/>
    <w:rsid w:val="00291BC0"/>
    <w:rsid w:val="00311DBE"/>
    <w:rsid w:val="004366A8"/>
    <w:rsid w:val="00502BA7"/>
    <w:rsid w:val="005162F1"/>
    <w:rsid w:val="00535153"/>
    <w:rsid w:val="00554F82"/>
    <w:rsid w:val="0056390D"/>
    <w:rsid w:val="005719B0"/>
    <w:rsid w:val="005D10D6"/>
    <w:rsid w:val="00855E3A"/>
    <w:rsid w:val="0091457F"/>
    <w:rsid w:val="00922CB9"/>
    <w:rsid w:val="009A0637"/>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856517C"/>
    <w:rsid w:val="0BFB189F"/>
    <w:rsid w:val="11BD75F7"/>
    <w:rsid w:val="124750C5"/>
    <w:rsid w:val="13BE561A"/>
    <w:rsid w:val="15392994"/>
    <w:rsid w:val="18FE139B"/>
    <w:rsid w:val="3029612C"/>
    <w:rsid w:val="32A221C5"/>
    <w:rsid w:val="33F20F2A"/>
    <w:rsid w:val="34C44675"/>
    <w:rsid w:val="3B5B5607"/>
    <w:rsid w:val="3CE21B3C"/>
    <w:rsid w:val="4D2606A1"/>
    <w:rsid w:val="51830480"/>
    <w:rsid w:val="53A616BE"/>
    <w:rsid w:val="54662BFB"/>
    <w:rsid w:val="62051CA5"/>
    <w:rsid w:val="6C3A69EF"/>
    <w:rsid w:val="7BDF2CF1"/>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59"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uiPriority w:val="1"/>
  </w:style>
  <w:style w:type="table" w:default="1" w:styleId="16">
    <w:name w:val="Normal Table"/>
    <w:semiHidden/>
    <w:unhideWhenUsed/>
    <w:uiPriority w:val="99"/>
    <w:tblPr>
      <w:tblCellMar>
        <w:top w:w="0" w:type="dxa"/>
        <w:left w:w="108" w:type="dxa"/>
        <w:bottom w:w="0" w:type="dxa"/>
        <w:right w:w="108" w:type="dxa"/>
      </w:tblCellMar>
    </w:tblPr>
  </w:style>
  <w:style w:type="paragraph" w:styleId="11">
    <w:name w:val="Balloon Text"/>
    <w:basedOn w:val="1"/>
    <w:link w:val="45"/>
    <w:semiHidden/>
    <w:unhideWhenUsed/>
    <w:uiPriority w:val="99"/>
    <w:rPr>
      <w:sz w:val="18"/>
      <w:szCs w:val="18"/>
    </w:rPr>
  </w:style>
  <w:style w:type="paragraph" w:styleId="12">
    <w:name w:val="footer"/>
    <w:basedOn w:val="1"/>
    <w:link w:val="44"/>
    <w:unhideWhenUsed/>
    <w:uiPriority w:val="99"/>
    <w:pPr>
      <w:tabs>
        <w:tab w:val="center" w:pos="4153"/>
        <w:tab w:val="right" w:pos="8306"/>
      </w:tabs>
      <w:snapToGrid w:val="0"/>
      <w:jc w:val="left"/>
    </w:pPr>
    <w:rPr>
      <w:rFonts w:ascii="Calibri" w:hAnsi="Calibri"/>
      <w:sz w:val="18"/>
      <w:szCs w:val="18"/>
    </w:rPr>
  </w:style>
  <w:style w:type="paragraph" w:styleId="13">
    <w:name w:val="header"/>
    <w:basedOn w:val="1"/>
    <w:link w:val="43"/>
    <w:autoRedefine/>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Char"/>
    <w:basedOn w:val="17"/>
    <w:link w:val="2"/>
    <w:qFormat/>
    <w:uiPriority w:val="9"/>
    <w:rPr>
      <w:rFonts w:asciiTheme="majorHAnsi" w:hAnsiTheme="majorHAnsi" w:eastAsiaTheme="majorEastAsia"/>
      <w:b/>
      <w:bCs/>
      <w:kern w:val="32"/>
      <w:sz w:val="32"/>
      <w:szCs w:val="32"/>
    </w:rPr>
  </w:style>
  <w:style w:type="character" w:customStyle="1" w:styleId="21">
    <w:name w:val="标题 2 Char"/>
    <w:basedOn w:val="17"/>
    <w:link w:val="3"/>
    <w:semiHidden/>
    <w:qFormat/>
    <w:uiPriority w:val="9"/>
    <w:rPr>
      <w:rFonts w:asciiTheme="majorHAnsi" w:hAnsiTheme="majorHAnsi" w:eastAsiaTheme="majorEastAsia"/>
      <w:b/>
      <w:bCs/>
      <w:i/>
      <w:iCs/>
      <w:sz w:val="28"/>
      <w:szCs w:val="28"/>
    </w:rPr>
  </w:style>
  <w:style w:type="character" w:customStyle="1" w:styleId="22">
    <w:name w:val="标题 3 Char"/>
    <w:basedOn w:val="17"/>
    <w:link w:val="4"/>
    <w:semiHidden/>
    <w:qFormat/>
    <w:uiPriority w:val="9"/>
    <w:rPr>
      <w:rFonts w:asciiTheme="majorHAnsi" w:hAnsiTheme="majorHAnsi" w:eastAsiaTheme="majorEastAsia"/>
      <w:b/>
      <w:bCs/>
      <w:sz w:val="26"/>
      <w:szCs w:val="26"/>
    </w:rPr>
  </w:style>
  <w:style w:type="character" w:customStyle="1" w:styleId="23">
    <w:name w:val="标题 4 Char"/>
    <w:basedOn w:val="17"/>
    <w:link w:val="5"/>
    <w:semiHidden/>
    <w:qFormat/>
    <w:uiPriority w:val="9"/>
    <w:rPr>
      <w:b/>
      <w:bCs/>
      <w:sz w:val="28"/>
      <w:szCs w:val="28"/>
    </w:rPr>
  </w:style>
  <w:style w:type="character" w:customStyle="1" w:styleId="24">
    <w:name w:val="标题 5 Char"/>
    <w:basedOn w:val="17"/>
    <w:link w:val="6"/>
    <w:semiHidden/>
    <w:qFormat/>
    <w:uiPriority w:val="9"/>
    <w:rPr>
      <w:b/>
      <w:bCs/>
      <w:i/>
      <w:iCs/>
      <w:sz w:val="26"/>
      <w:szCs w:val="26"/>
    </w:rPr>
  </w:style>
  <w:style w:type="character" w:customStyle="1" w:styleId="25">
    <w:name w:val="标题 6 Char"/>
    <w:basedOn w:val="17"/>
    <w:link w:val="7"/>
    <w:semiHidden/>
    <w:qFormat/>
    <w:uiPriority w:val="9"/>
    <w:rPr>
      <w:b/>
      <w:bCs/>
    </w:rPr>
  </w:style>
  <w:style w:type="character" w:customStyle="1" w:styleId="26">
    <w:name w:val="标题 7 Char"/>
    <w:basedOn w:val="17"/>
    <w:link w:val="8"/>
    <w:semiHidden/>
    <w:uiPriority w:val="9"/>
    <w:rPr>
      <w:sz w:val="24"/>
      <w:szCs w:val="24"/>
    </w:rPr>
  </w:style>
  <w:style w:type="character" w:customStyle="1" w:styleId="27">
    <w:name w:val="标题 8 Char"/>
    <w:basedOn w:val="17"/>
    <w:link w:val="9"/>
    <w:semiHidden/>
    <w:qFormat/>
    <w:uiPriority w:val="9"/>
    <w:rPr>
      <w:i/>
      <w:iCs/>
      <w:sz w:val="24"/>
      <w:szCs w:val="24"/>
    </w:rPr>
  </w:style>
  <w:style w:type="character" w:customStyle="1" w:styleId="28">
    <w:name w:val="标题 9 Char"/>
    <w:basedOn w:val="17"/>
    <w:link w:val="10"/>
    <w:semiHidden/>
    <w:qFormat/>
    <w:uiPriority w:val="9"/>
    <w:rPr>
      <w:rFonts w:asciiTheme="majorHAnsi" w:hAnsiTheme="majorHAnsi" w:eastAsiaTheme="majorEastAsia"/>
    </w:rPr>
  </w:style>
  <w:style w:type="character" w:customStyle="1" w:styleId="29">
    <w:name w:val="标题 Char"/>
    <w:basedOn w:val="17"/>
    <w:link w:val="15"/>
    <w:uiPriority w:val="10"/>
    <w:rPr>
      <w:rFonts w:asciiTheme="majorHAnsi" w:hAnsiTheme="majorHAnsi" w:eastAsiaTheme="majorEastAsia"/>
      <w:b/>
      <w:bCs/>
      <w:kern w:val="28"/>
      <w:sz w:val="32"/>
      <w:szCs w:val="32"/>
    </w:rPr>
  </w:style>
  <w:style w:type="character" w:customStyle="1" w:styleId="30">
    <w:name w:val="副标题 Char"/>
    <w:basedOn w:val="17"/>
    <w:link w:val="14"/>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Char"/>
    <w:basedOn w:val="17"/>
    <w:link w:val="33"/>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Char"/>
    <w:basedOn w:val="17"/>
    <w:link w:val="35"/>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Char"/>
    <w:basedOn w:val="17"/>
    <w:link w:val="13"/>
    <w:qFormat/>
    <w:uiPriority w:val="99"/>
    <w:rPr>
      <w:rFonts w:ascii="Calibri" w:hAnsi="Calibri" w:eastAsia="宋体"/>
      <w:kern w:val="2"/>
      <w:sz w:val="18"/>
      <w:szCs w:val="18"/>
    </w:rPr>
  </w:style>
  <w:style w:type="character" w:customStyle="1" w:styleId="44">
    <w:name w:val="页脚 Char"/>
    <w:basedOn w:val="17"/>
    <w:link w:val="12"/>
    <w:uiPriority w:val="99"/>
    <w:rPr>
      <w:rFonts w:ascii="Calibri" w:hAnsi="Calibri" w:eastAsia="宋体"/>
      <w:kern w:val="2"/>
      <w:sz w:val="18"/>
      <w:szCs w:val="18"/>
    </w:rPr>
  </w:style>
  <w:style w:type="character" w:customStyle="1" w:styleId="45">
    <w:name w:val="批注框文本 Char"/>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15</Pages>
  <Words>6556</Words>
  <Characters>6841</Characters>
  <Lines>4</Lines>
  <Paragraphs>1</Paragraphs>
  <TotalTime>2</TotalTime>
  <ScaleCrop>false</ScaleCrop>
  <LinksUpToDate>false</LinksUpToDate>
  <CharactersWithSpaces>6918</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哎呦喂</cp:lastModifiedBy>
  <cp:lastPrinted>2018-12-31T10:56:00Z</cp:lastPrinted>
  <dcterms:modified xsi:type="dcterms:W3CDTF">2024-12-27T04:52:19Z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C734C92AAAF24344A0E4232D8EB3359B</vt:lpwstr>
  </property>
  <property fmtid="{D5CDD505-2E9C-101B-9397-08002B2CF9AE}" pid="4" name="KSOTemplateDocerSaveRecord">
    <vt:lpwstr>eyJoZGlkIjoiMzEwNTM5NzYwMDRjMzkwZTVkZjY2ODkwMGIxNGU0OTUiLCJ1c2VySWQiOiIxMTcxMDQ1MzEwIn0=</vt:lpwstr>
  </property>
</Properties>
</file>